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25</w:t>
      </w:r>
    </w:p>
    <w:p>
      <w:r>
        <w:t>Bundesgericht (BGE), 1974-06-04, FR</w:t>
      </w:r>
    </w:p>
    <w:p>
      <w:r>
        <w:rPr>
          <w:b/>
        </w:rPr>
        <w:t xml:space="preserve">Quelle: </w:t>
      </w:r>
      <w:r>
        <w:t>https://mcp.opencaselaw.ch/entscheid/bge_100 III 25</w:t>
      </w:r>
    </w:p>
    <w:p>
      <w:r>
        <w:t>FR: ATF 100 III 25</w:t>
      </w:r>
    </w:p>
    <w:p>
      <w:r>
        <w:t>IT: DTF 100 III 25</w:t>
      </w:r>
    </w:p>
    <w:p>
      <w:pPr>
        <w:pStyle w:val="Heading2"/>
      </w:pPr>
      <w:r>
        <w:t>Regeste</w:t>
      </w:r>
    </w:p>
    <w:p>
      <w:r>
        <w:t>Regeste 1. Es ist zulässig, einen Arrest auf Gegenstände zu erwirken, die nur der Gattung nach bezeichnet sind. Der Arrest ist jedoch erst vollzogen, wenn die arrestierten Gegenstände spezifiziert und die Frage der Pfändbarkeit und der Rechte Dritter geklärt worden sind.Solange der Arrestvollzug im Gange ist, steht der Beschwerdeweg offen (Erw. 1a). 2. Der Umstand, dass im Arrestprosequierungsprozess die Einrede der Unzuständigkeit erhoben worden ist, hindert eine Partei nicht, auch auf dem Beschwerdeweg den Betreibungsstand zu bestreiten (Erw. 1b). 3. Das Betreibungsamt, das mit einem Arrestbegehren befasst ist, hat die Dritten aufzufordern, über die bei ihnen zu arrestierenden Gegenstände Auskunft zu erteilen. Darauf hat es zu entscheiden, ob der Arrest erfolglos war oder nicht (Erw. 2).</w:t>
      </w:r>
    </w:p>
    <w:p>
      <w:pPr>
        <w:pStyle w:val="Heading2"/>
      </w:pPr>
      <w:r>
        <w:t>Erwägungen</w:t>
      </w:r>
    </w:p>
    <w:p>
      <w:r>
        <w:rPr>
          <w:b/>
        </w:rPr>
        <w:t>E. 1</w:t>
      </w:r>
    </w:p>
    <w:p>
      <w:r>
        <w:t>a) L'intimée a requis un séquestre sur des biens qui ne sont désignés que par leur genre, leur spécification étant ainsi reportée à une date ultérieure. Cette manière de procéder est admissible (RO 90 III 96 et les arrêts cités; 96 III 110 consid. 3). Dans un tel cas, le séquestre n'est parachevé que lorsque la spécification des biens frappés - s'il y en a - est intervenue et une fois résolues les difficultés qui pourraient s'élever quant à la saisissabilité de ces biens et quant aux droits que des tiers pourraient invoquer sur eux. Aussi longtemps que l'exécution du séquestre est en cours, la voie de la plainte demeure ouverte, notamment pour faire constater l'absence d'actifs séquestrés. En l'espèce, l'exécution du séquestre est en cours et l'Office n'a encore ni inventorié ni estimé les actifs qui peuvent avoir été frappés par cette mesure. Bien que déposée plus de deux ans après la délivrance du procès-verbal de l'opération, la plainte visant à faire constater la caducité du séquestre en raison de l'inexistence de biens séquestrés et à faire ainsi admettre l'absence du for spécial du séquestre est recevable. b) La recourante a pris des conclusions en déclinatoire dans le procès en validation du séquestre; elle y fait valoir qu'aucun actif n'a été séquestré et qu'il n'y a donc pas de for à Genève. Mais cela ne l'empêche pas de saisir l'autorité de surveillance de la même question, sans que la litispendance doive être examinée. En dehors des causes portées auprès du Tribunal fédéral en instance unique et auxquelles s'applique l'art. 22 LPC, l'exception de litispendance relève du droit de procédure cantonal (RO 98 II 158 consid. 3), dont la violation n'ouvre pas la voie du recours au Tribunal fédéral (art. 43 al. 1 OJ, auquel renvoie l'art. 81 OJ). Il n'y aurait lieu pour le Tribunal fédéral d'examiner cette question que si l'application du droit cantonal conduisait à dessaisir l'autorité de surveillance d'une compétence que le droit fédéral lui attribue exclusivement. Mais ce n'est pas le cas en l'espèce.</w:t>
      </w:r>
    </w:p>
    <w:p>
      <w:r>
        <w:rPr>
          <w:b/>
        </w:rPr>
        <w:t>E. 2</w:t>
      </w:r>
    </w:p>
    <w:p>
      <w:r>
        <w:t>Le procès-verbal de séquestre ne précise pas si l'Office des poursuites de Genève a invité les trois établissements bancaires auprès desquels le séquestre a été opéré à se BGE 100 III 25 S. 29 déterminer, comme ils ont l'obligation de le faire (RO 75 III 108 consid. 2a), sur l'existence ou l'inexistence d'actifs répondant aux genres visés dans l'ordonnance. Il résulte uniquement du dossier que l'Union de Banques Suisses a été interpellée en mai ou juin 1973, à la requête de la poursuivante, et qu'elle n'a pas répondu. Par sa Mission de l'ONU, la recourante a pris l'initiative d'interpeller les trois banques; elle a obtenu d'elles, en décembre 1972, des déterminations que les parties interprètent différemment. Selon la poursuivie, ces déclarations établiraient l'inexistence de biens séquestrés. Selon la poursuivante, ces déclarations n'exclueraient pas l'existence de tels biens, notamment auprès de l'UBS. Il appartenait, dans ces conditions, à l'Office des poursuites de requérir des tiers séquestrés des précisions, pour chacun des objets désignés par leur genre, propres à clarifier la situation. Même en présence d'un séquestre générique, l'Office des poursuites ne pouvait demeurer passif et laisser au juge le soin de déterminer si les tiers séquestrés détenaient des biens du genre visé par l'ordonnance. Il peut certes arriver que l'Office n'obtienne pas les informations utiles et qu'il faille attendre non seulement l'issue du procès au fond, mais la saisie qui pourra s'ensuivre, pour savoir si le séquestre a produit un résultat. Cette incertitude doit autant que possible être évitée ou écourtée par la diligence de l'Office des poursuites, de façon à réduire le nombre des cas où des procès sont instruits en Suisse au bénéfice d'un for spécial qui s'avère après coup n'avoir existé qu'en apparence. Les interpellations qu'il appartient à l'Office des poursuites d'adresser au tiers séquestré en le rendant attentif au fait que ses déterminations engagent sa responsabilité et qu'il ne peut se retrancher derrière le secret professionnel, ainsi que les réponses de ce tiers doivent figurer au dossier et trouver mention au procès-verbal du séquestre. En effet, en vertu de l'art. 112 al. 3 LP, le procès-verbal de saisie indique si les biens sont insuffisants ou font entièrement défaut; or cette règle est applicable par analogie pour les biens séquestrés (art. 276 LP). L'exécution du séquestre générique n'est en général pas achevée par la remise au tiers séquestré de l'ordonnance de séquestre aussi les opérations complémentaires BGE 100 III 25 S. 30 doivent-elles figurer au procès-verbal, ce qui n'a pas été le cas en l'espèce. Enfin, l'Office des poursuites doit apprécier les informations qu'il a pu recueillir et dire dans le procès-verbal s'il en conclut que des actifs tombant sous le coup du séquestre existent ou peuvent exister et si, par conséquent, le séquestre a abouti ou échoué. La décision attaquée doit être dès lors annulée (art. 64 et 81 OJ) et l'affaire renvoyée à l'autorité cantonale de surveillance afin qu'elle complète ou fasse compléter l'instruction en interpellant les banques auprès desquelles les séquestres ont été requis, puis en prenant position sur le point de savoir si chacun des séquestres a échoué, a abouti ou peut avoir abouti. Dispositiv Par ces motifs, la Chambre des poursuites et des faillites: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